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D2" w:rsidRPr="00EA5AEA" w:rsidRDefault="008615EF" w:rsidP="0076779F">
      <w:pPr>
        <w:rPr>
          <w:b/>
        </w:rPr>
      </w:pPr>
      <w:r w:rsidRPr="00EA5AEA">
        <w:rPr>
          <w:b/>
        </w:rPr>
        <w:t>Integration of transcriptome and genome sequencing uncovers functional variation in human populations</w:t>
      </w:r>
    </w:p>
    <w:p w:rsidR="00B918D2" w:rsidRDefault="00B918D2" w:rsidP="0076779F"/>
    <w:p w:rsidR="00B918D2" w:rsidRPr="00B918D2" w:rsidRDefault="00B918D2" w:rsidP="00B918D2"/>
    <w:p w:rsidR="00B918D2" w:rsidRPr="00EA5AEA" w:rsidRDefault="00B918D2" w:rsidP="00B918D2">
      <w:r>
        <w:t>T</w:t>
      </w:r>
      <w:r w:rsidRPr="00B918D2">
        <w:t xml:space="preserve"> Lappalainen</w:t>
      </w:r>
      <w:r w:rsidRPr="00B918D2">
        <w:rPr>
          <w:vertAlign w:val="superscript"/>
        </w:rPr>
        <w:t>1</w:t>
      </w:r>
      <w:r w:rsidRPr="00B918D2">
        <w:t>, M Sammeth</w:t>
      </w:r>
      <w:r w:rsidRPr="00B918D2">
        <w:rPr>
          <w:vertAlign w:val="superscript"/>
        </w:rPr>
        <w:t>2</w:t>
      </w:r>
      <w:proofErr w:type="gramStart"/>
      <w:r w:rsidRPr="00B918D2">
        <w:rPr>
          <w:vertAlign w:val="superscript"/>
        </w:rPr>
        <w:t>,3</w:t>
      </w:r>
      <w:proofErr w:type="gramEnd"/>
      <w:r w:rsidRPr="00B918D2">
        <w:t>, N Kurbatova</w:t>
      </w:r>
      <w:r w:rsidRPr="00B918D2">
        <w:rPr>
          <w:vertAlign w:val="superscript"/>
        </w:rPr>
        <w:t>4</w:t>
      </w:r>
      <w:r w:rsidRPr="00B918D2">
        <w:t>, J Monlong</w:t>
      </w:r>
      <w:r w:rsidRPr="00B918D2">
        <w:rPr>
          <w:vertAlign w:val="superscript"/>
        </w:rPr>
        <w:t>3</w:t>
      </w:r>
      <w:r w:rsidRPr="00B918D2">
        <w:t>, M Friedländer</w:t>
      </w:r>
      <w:r w:rsidRPr="00B918D2">
        <w:rPr>
          <w:vertAlign w:val="superscript"/>
        </w:rPr>
        <w:t>2</w:t>
      </w:r>
      <w:r w:rsidRPr="00B918D2">
        <w:t xml:space="preserve">, </w:t>
      </w:r>
      <w:r w:rsidR="00527858" w:rsidRPr="00B918D2">
        <w:t>M Rivas</w:t>
      </w:r>
      <w:r w:rsidR="00527858" w:rsidRPr="00B918D2">
        <w:rPr>
          <w:vertAlign w:val="superscript"/>
        </w:rPr>
        <w:t>5</w:t>
      </w:r>
      <w:r w:rsidR="00527858" w:rsidRPr="00B918D2">
        <w:t xml:space="preserve">, </w:t>
      </w:r>
      <w:r w:rsidR="00EA5AEA" w:rsidRPr="00B918D2">
        <w:t>T Wieland</w:t>
      </w:r>
      <w:r w:rsidR="00EA5AEA" w:rsidRPr="00B918D2">
        <w:rPr>
          <w:vertAlign w:val="superscript"/>
        </w:rPr>
        <w:t>6</w:t>
      </w:r>
      <w:r w:rsidR="00EA5AEA" w:rsidRPr="00B918D2">
        <w:t>,</w:t>
      </w:r>
      <w:r w:rsidR="00EA5AEA">
        <w:t xml:space="preserve"> </w:t>
      </w:r>
      <w:r w:rsidR="00527858" w:rsidRPr="00B918D2">
        <w:t>O Karlberg</w:t>
      </w:r>
      <w:r w:rsidR="00EA5AEA">
        <w:rPr>
          <w:vertAlign w:val="superscript"/>
        </w:rPr>
        <w:t>7</w:t>
      </w:r>
      <w:r w:rsidR="00527858" w:rsidRPr="00B918D2">
        <w:t xml:space="preserve">, </w:t>
      </w:r>
      <w:r w:rsidRPr="00B918D2">
        <w:t>M Barann</w:t>
      </w:r>
      <w:r w:rsidRPr="00B918D2">
        <w:rPr>
          <w:vertAlign w:val="superscript"/>
        </w:rPr>
        <w:t>8</w:t>
      </w:r>
      <w:r w:rsidRPr="00B918D2">
        <w:t xml:space="preserve">, </w:t>
      </w:r>
      <w:r w:rsidR="00EA5AEA" w:rsidRPr="00B918D2">
        <w:t>PAC ‘t Hoen</w:t>
      </w:r>
      <w:r w:rsidR="00EA5AEA">
        <w:rPr>
          <w:vertAlign w:val="superscript"/>
        </w:rPr>
        <w:t>9</w:t>
      </w:r>
      <w:r w:rsidR="00EA5AEA" w:rsidRPr="00B918D2">
        <w:t>,</w:t>
      </w:r>
      <w:r w:rsidR="00EA5AEA">
        <w:t xml:space="preserve"> </w:t>
      </w:r>
      <w:r w:rsidRPr="00B918D2">
        <w:t>T Griebel</w:t>
      </w:r>
      <w:r w:rsidRPr="00B918D2">
        <w:rPr>
          <w:vertAlign w:val="superscript"/>
        </w:rPr>
        <w:t>3</w:t>
      </w:r>
      <w:r w:rsidRPr="00B918D2">
        <w:t xml:space="preserve">, </w:t>
      </w:r>
      <w:r w:rsidR="008615EF" w:rsidRPr="00B918D2">
        <w:t>M Sultan</w:t>
      </w:r>
      <w:r w:rsidR="008615EF" w:rsidRPr="00B918D2">
        <w:rPr>
          <w:vertAlign w:val="superscript"/>
        </w:rPr>
        <w:t>10</w:t>
      </w:r>
      <w:r w:rsidR="008615EF" w:rsidRPr="00B918D2">
        <w:t xml:space="preserve">, </w:t>
      </w:r>
      <w:r>
        <w:t>D MacArthur</w:t>
      </w:r>
      <w:r w:rsidR="00EA5AEA">
        <w:rPr>
          <w:vertAlign w:val="superscript"/>
        </w:rPr>
        <w:t>11</w:t>
      </w:r>
      <w:r>
        <w:t>,</w:t>
      </w:r>
      <w:r w:rsidR="00EA5AEA">
        <w:t xml:space="preserve"> </w:t>
      </w:r>
      <w:r w:rsidRPr="00B918D2">
        <w:t>E Lizano</w:t>
      </w:r>
      <w:r w:rsidRPr="00B918D2">
        <w:rPr>
          <w:vertAlign w:val="superscript"/>
        </w:rPr>
        <w:t>2</w:t>
      </w:r>
      <w:r w:rsidRPr="00B918D2">
        <w:t xml:space="preserve">, </w:t>
      </w:r>
      <w:r w:rsidR="008615EF" w:rsidRPr="00B918D2">
        <w:t>T Strom</w:t>
      </w:r>
      <w:r w:rsidR="008615EF" w:rsidRPr="00B918D2">
        <w:rPr>
          <w:vertAlign w:val="superscript"/>
        </w:rPr>
        <w:t>6</w:t>
      </w:r>
      <w:r w:rsidR="008615EF" w:rsidRPr="00B918D2">
        <w:t xml:space="preserve">, </w:t>
      </w:r>
      <w:r w:rsidRPr="00B918D2">
        <w:t>S Schreiber</w:t>
      </w:r>
      <w:r w:rsidRPr="00B918D2">
        <w:rPr>
          <w:vertAlign w:val="superscript"/>
        </w:rPr>
        <w:t>8</w:t>
      </w:r>
      <w:r w:rsidRPr="00B918D2">
        <w:t>, H Lehrach</w:t>
      </w:r>
      <w:r w:rsidRPr="00B918D2">
        <w:rPr>
          <w:vertAlign w:val="superscript"/>
        </w:rPr>
        <w:t>10</w:t>
      </w:r>
      <w:r w:rsidRPr="00B918D2">
        <w:t>, S Antonarakis</w:t>
      </w:r>
      <w:r w:rsidRPr="00B918D2">
        <w:rPr>
          <w:vertAlign w:val="superscript"/>
        </w:rPr>
        <w:t>1</w:t>
      </w:r>
      <w:r w:rsidRPr="00B918D2">
        <w:t>, GJ van Ommen</w:t>
      </w:r>
      <w:r w:rsidR="00EC43AB">
        <w:rPr>
          <w:vertAlign w:val="superscript"/>
        </w:rPr>
        <w:t>9</w:t>
      </w:r>
      <w:r w:rsidRPr="00B918D2">
        <w:t>, R Sudbrak</w:t>
      </w:r>
      <w:r w:rsidRPr="00B918D2">
        <w:rPr>
          <w:vertAlign w:val="superscript"/>
        </w:rPr>
        <w:t>10</w:t>
      </w:r>
      <w:r w:rsidRPr="00B918D2">
        <w:t>, R Häsler</w:t>
      </w:r>
      <w:r w:rsidRPr="00B918D2">
        <w:rPr>
          <w:vertAlign w:val="superscript"/>
        </w:rPr>
        <w:t>8</w:t>
      </w:r>
      <w:r w:rsidRPr="00B918D2">
        <w:t>, A Brazma</w:t>
      </w:r>
      <w:r w:rsidRPr="00B918D2">
        <w:rPr>
          <w:vertAlign w:val="superscript"/>
        </w:rPr>
        <w:t>4</w:t>
      </w:r>
      <w:r w:rsidRPr="00B918D2">
        <w:t>, AC Syvanen</w:t>
      </w:r>
      <w:r w:rsidR="00EC43AB">
        <w:rPr>
          <w:vertAlign w:val="superscript"/>
        </w:rPr>
        <w:t>7</w:t>
      </w:r>
      <w:r w:rsidRPr="00B918D2">
        <w:t>, P Rosenstiel</w:t>
      </w:r>
      <w:r w:rsidRPr="00B918D2">
        <w:rPr>
          <w:vertAlign w:val="superscript"/>
        </w:rPr>
        <w:t>8</w:t>
      </w:r>
      <w:r w:rsidRPr="00B918D2">
        <w:t>, T Meitinger</w:t>
      </w:r>
      <w:r w:rsidRPr="00B918D2">
        <w:rPr>
          <w:vertAlign w:val="superscript"/>
        </w:rPr>
        <w:t>6</w:t>
      </w:r>
      <w:r w:rsidRPr="00B918D2">
        <w:t>, R Guigo</w:t>
      </w:r>
      <w:r w:rsidRPr="00B918D2">
        <w:rPr>
          <w:vertAlign w:val="superscript"/>
        </w:rPr>
        <w:t>3</w:t>
      </w:r>
      <w:r w:rsidRPr="00B918D2">
        <w:t>, I Gut</w:t>
      </w:r>
      <w:r w:rsidRPr="00B918D2">
        <w:rPr>
          <w:vertAlign w:val="superscript"/>
        </w:rPr>
        <w:t>3</w:t>
      </w:r>
      <w:r w:rsidRPr="00B918D2">
        <w:t>, X Estivill</w:t>
      </w:r>
      <w:r w:rsidRPr="00B918D2">
        <w:rPr>
          <w:vertAlign w:val="superscript"/>
        </w:rPr>
        <w:t>2</w:t>
      </w:r>
      <w:r w:rsidRPr="00B918D2">
        <w:t>, ET Dermitzakis</w:t>
      </w:r>
      <w:r w:rsidRPr="00B918D2">
        <w:rPr>
          <w:vertAlign w:val="superscript"/>
        </w:rPr>
        <w:t>1</w:t>
      </w:r>
      <w:r w:rsidRPr="00B918D2">
        <w:t xml:space="preserve">, </w:t>
      </w:r>
      <w:r w:rsidR="00527858">
        <w:t>T</w:t>
      </w:r>
      <w:r w:rsidRPr="00B918D2">
        <w:t xml:space="preserve">he </w:t>
      </w:r>
      <w:proofErr w:type="spellStart"/>
      <w:r w:rsidRPr="00B918D2">
        <w:t>Geuvadis</w:t>
      </w:r>
      <w:proofErr w:type="spellEnd"/>
      <w:r w:rsidRPr="00B918D2">
        <w:t xml:space="preserve"> Consortium</w:t>
      </w:r>
      <w:r w:rsidRPr="00B918D2">
        <w:rPr>
          <w:vertAlign w:val="superscript"/>
        </w:rPr>
        <w:t>1,2,3,4,6,7,8,9,10</w:t>
      </w:r>
    </w:p>
    <w:p w:rsidR="00B918D2" w:rsidRPr="00B918D2" w:rsidRDefault="00B918D2" w:rsidP="00B918D2"/>
    <w:p w:rsidR="00B918D2" w:rsidRPr="00B918D2" w:rsidRDefault="00B918D2" w:rsidP="00B918D2">
      <w:r w:rsidRPr="00B918D2">
        <w:t>1 Dept of Genetic Medicine and Development, University of Geneva</w:t>
      </w:r>
      <w:proofErr w:type="gramStart"/>
      <w:r w:rsidRPr="00B918D2">
        <w:t>;  2</w:t>
      </w:r>
      <w:proofErr w:type="gramEnd"/>
      <w:r w:rsidRPr="00B918D2">
        <w:t xml:space="preserve"> Center for Genomic Regulation and UPF, Barcelona;  3 Centro </w:t>
      </w:r>
      <w:proofErr w:type="spellStart"/>
      <w:r w:rsidRPr="00B918D2">
        <w:t>Nacional</w:t>
      </w:r>
      <w:proofErr w:type="spellEnd"/>
      <w:r w:rsidRPr="00B918D2">
        <w:t xml:space="preserve"> de </w:t>
      </w:r>
      <w:proofErr w:type="spellStart"/>
      <w:r w:rsidRPr="00B918D2">
        <w:t>Analisis</w:t>
      </w:r>
      <w:proofErr w:type="spellEnd"/>
      <w:r w:rsidRPr="00B918D2">
        <w:t xml:space="preserve"> </w:t>
      </w:r>
      <w:proofErr w:type="spellStart"/>
      <w:r w:rsidRPr="00B918D2">
        <w:t>Genomico</w:t>
      </w:r>
      <w:proofErr w:type="spellEnd"/>
      <w:r w:rsidRPr="00B918D2">
        <w:t xml:space="preserve">, Barcelona;  4 European Bioinformatics Institute, </w:t>
      </w:r>
      <w:proofErr w:type="spellStart"/>
      <w:r w:rsidRPr="00B918D2">
        <w:t>Hinxton</w:t>
      </w:r>
      <w:proofErr w:type="spellEnd"/>
      <w:r w:rsidRPr="00B918D2">
        <w:t xml:space="preserve">;  5 </w:t>
      </w:r>
      <w:proofErr w:type="spellStart"/>
      <w:r w:rsidRPr="00B918D2">
        <w:t>Wellcome</w:t>
      </w:r>
      <w:proofErr w:type="spellEnd"/>
      <w:r w:rsidRPr="00B918D2">
        <w:t xml:space="preserve"> Trust Centre for Human Genetics, Oxford;  6 Institute of Human Genetics, Helmholtz </w:t>
      </w:r>
      <w:proofErr w:type="spellStart"/>
      <w:r w:rsidRPr="00B918D2">
        <w:t>Zentrum</w:t>
      </w:r>
      <w:proofErr w:type="spellEnd"/>
      <w:r w:rsidRPr="00B918D2">
        <w:t xml:space="preserve"> </w:t>
      </w:r>
      <w:proofErr w:type="spellStart"/>
      <w:r w:rsidRPr="00B918D2">
        <w:t>München</w:t>
      </w:r>
      <w:proofErr w:type="spellEnd"/>
      <w:r w:rsidRPr="00B918D2">
        <w:t xml:space="preserve">, Munich; </w:t>
      </w:r>
      <w:r w:rsidR="00EA5AEA">
        <w:t xml:space="preserve">  7</w:t>
      </w:r>
      <w:r w:rsidR="00EA5AEA" w:rsidRPr="00B918D2">
        <w:t xml:space="preserve"> Department of Medical Sciences, Uppsala University;</w:t>
      </w:r>
      <w:r w:rsidR="00EA5AEA">
        <w:t xml:space="preserve">  </w:t>
      </w:r>
      <w:r w:rsidRPr="00B918D2">
        <w:t xml:space="preserve">8 Institute of Clinical Molecular Biology, University of Kiel; </w:t>
      </w:r>
      <w:r w:rsidR="00EA5AEA">
        <w:t xml:space="preserve">  9</w:t>
      </w:r>
      <w:r w:rsidR="00EA5AEA" w:rsidRPr="00B918D2">
        <w:t xml:space="preserve"> Center for Human and Clinical Genetics, Leiden University Medical Center; </w:t>
      </w:r>
      <w:r w:rsidR="00EA5AEA">
        <w:t xml:space="preserve"> </w:t>
      </w:r>
      <w:r w:rsidRPr="00B918D2">
        <w:t>10 Department of Vertebrate Genomics, Max Planck Institute for Molecular Genetics, Berlin</w:t>
      </w:r>
      <w:r w:rsidR="00EA5AEA">
        <w:t xml:space="preserve">;   11 </w:t>
      </w:r>
      <w:r w:rsidR="00EA5AEA" w:rsidRPr="00EA5AEA">
        <w:t>Analytic and Translational Genetics Unit</w:t>
      </w:r>
      <w:r w:rsidR="00EA5AEA">
        <w:t>, Massachusetts General Hospital, Boston</w:t>
      </w:r>
    </w:p>
    <w:p w:rsidR="00FB3748" w:rsidRDefault="00FB3748" w:rsidP="0076779F"/>
    <w:p w:rsidR="00FB3748" w:rsidRDefault="00FB3748" w:rsidP="0076779F"/>
    <w:p w:rsidR="0076779F" w:rsidRDefault="0076779F" w:rsidP="0076779F"/>
    <w:p w:rsidR="0076779F" w:rsidRDefault="0076779F" w:rsidP="0076779F">
      <w:r>
        <w:t>Functional interpretation of genetic vari</w:t>
      </w:r>
      <w:r w:rsidR="000C0A94">
        <w:t>ants discovered in human genome</w:t>
      </w:r>
      <w:r>
        <w:t xml:space="preserve"> sequencing is essential to understand human phenotypic variation. </w:t>
      </w:r>
      <w:r w:rsidR="00987472">
        <w:t>W</w:t>
      </w:r>
      <w:r>
        <w:t>e sequenced mRNA and small RNA of LCLs from 465 individuals from CEU, TSI, GBR, FIN and YRI populations of the 1000 Genomes samples</w:t>
      </w:r>
      <w:r w:rsidR="00320D51">
        <w:t>, with a median 40</w:t>
      </w:r>
      <w:r w:rsidR="00B918D2">
        <w:t>M</w:t>
      </w:r>
      <w:r w:rsidR="00320D51">
        <w:t>*</w:t>
      </w:r>
      <w:r w:rsidR="00B918D2">
        <w:t xml:space="preserve"> mapped reads per sample for mRNA and 1.5M for </w:t>
      </w:r>
      <w:proofErr w:type="spellStart"/>
      <w:r w:rsidR="00B918D2">
        <w:t>miRNA</w:t>
      </w:r>
      <w:proofErr w:type="spellEnd"/>
      <w:r>
        <w:t xml:space="preserve">. </w:t>
      </w:r>
      <w:r w:rsidR="00834618">
        <w:t>Our</w:t>
      </w:r>
      <w:r w:rsidR="00987472">
        <w:t xml:space="preserve"> </w:t>
      </w:r>
      <w:r w:rsidR="000C0A94">
        <w:t xml:space="preserve">203 </w:t>
      </w:r>
      <w:r w:rsidR="00987472">
        <w:t>replicate samples</w:t>
      </w:r>
      <w:r w:rsidR="004C309D">
        <w:t xml:space="preserve"> allowed us to measure technical variation in high precision. </w:t>
      </w:r>
      <w:r w:rsidR="003565CE">
        <w:t>In our analysis</w:t>
      </w:r>
      <w:r w:rsidR="00987472">
        <w:t>, we</w:t>
      </w:r>
      <w:r w:rsidR="008615EF">
        <w:t xml:space="preserve"> </w:t>
      </w:r>
      <w:r w:rsidR="00312A2C">
        <w:t xml:space="preserve">first </w:t>
      </w:r>
      <w:r w:rsidR="008615EF">
        <w:t>characterize</w:t>
      </w:r>
      <w:r w:rsidR="000B107A">
        <w:t>d</w:t>
      </w:r>
      <w:r w:rsidR="008615EF">
        <w:t xml:space="preserve"> </w:t>
      </w:r>
      <w:r w:rsidR="00987472">
        <w:t xml:space="preserve">human </w:t>
      </w:r>
      <w:r w:rsidR="000C0A94">
        <w:t>transcriptome</w:t>
      </w:r>
      <w:r w:rsidR="006C7DB8">
        <w:t xml:space="preserve"> </w:t>
      </w:r>
      <w:r w:rsidR="00834618">
        <w:t>variation</w:t>
      </w:r>
      <w:r w:rsidR="000C0A94">
        <w:t xml:space="preserve"> </w:t>
      </w:r>
      <w:r w:rsidR="008615EF">
        <w:t>in unprecedented depth</w:t>
      </w:r>
      <w:r w:rsidR="006C7DB8">
        <w:t>.</w:t>
      </w:r>
      <w:r w:rsidR="009316A8">
        <w:t xml:space="preserve"> </w:t>
      </w:r>
      <w:r w:rsidR="00834618">
        <w:t>We show how t</w:t>
      </w:r>
      <w:r w:rsidR="00517D39">
        <w:t xml:space="preserve">he </w:t>
      </w:r>
      <w:r w:rsidR="00834618">
        <w:t xml:space="preserve">total </w:t>
      </w:r>
      <w:r w:rsidR="00517D39">
        <w:t>num</w:t>
      </w:r>
      <w:r w:rsidR="00555EF7">
        <w:t>ber of expressed genes increased</w:t>
      </w:r>
      <w:r w:rsidR="00517D39">
        <w:t xml:space="preserve"> fr</w:t>
      </w:r>
      <w:r w:rsidR="00834618">
        <w:t xml:space="preserve">om a median of 400 </w:t>
      </w:r>
      <w:proofErr w:type="spellStart"/>
      <w:r w:rsidR="00834618">
        <w:t>miRNA</w:t>
      </w:r>
      <w:proofErr w:type="spellEnd"/>
      <w:r w:rsidR="00834618">
        <w:t xml:space="preserve"> and 14000*</w:t>
      </w:r>
      <w:r w:rsidR="00555EF7">
        <w:t xml:space="preserve"> protein-coding genes </w:t>
      </w:r>
      <w:r w:rsidR="00834618">
        <w:t xml:space="preserve">in a single </w:t>
      </w:r>
      <w:r w:rsidR="00555EF7">
        <w:t>individual</w:t>
      </w:r>
      <w:r w:rsidR="00517D39">
        <w:t xml:space="preserve"> to </w:t>
      </w:r>
      <w:r w:rsidR="00597E38">
        <w:t xml:space="preserve">a total of </w:t>
      </w:r>
      <w:r w:rsidR="00517D39">
        <w:t xml:space="preserve">1651 and 20K in the entire sample, </w:t>
      </w:r>
      <w:r w:rsidR="00834618">
        <w:t>with</w:t>
      </w:r>
      <w:r w:rsidR="00517D39">
        <w:t xml:space="preserve"> nearly every </w:t>
      </w:r>
      <w:r w:rsidR="00555EF7">
        <w:t>individual</w:t>
      </w:r>
      <w:r w:rsidR="00834618">
        <w:t xml:space="preserve"> expressing</w:t>
      </w:r>
      <w:r w:rsidR="00517D39">
        <w:t xml:space="preserve"> some unique genes. </w:t>
      </w:r>
      <w:r w:rsidR="00555EF7">
        <w:t>W</w:t>
      </w:r>
      <w:r w:rsidR="00FB3748">
        <w:t xml:space="preserve">e discovered </w:t>
      </w:r>
      <w:r w:rsidR="009B7B9C">
        <w:t xml:space="preserve">almost 200 </w:t>
      </w:r>
      <w:r w:rsidR="00FB3748">
        <w:t xml:space="preserve">novel </w:t>
      </w:r>
      <w:proofErr w:type="spellStart"/>
      <w:r w:rsidR="00FB3748">
        <w:t>miRNA</w:t>
      </w:r>
      <w:proofErr w:type="spellEnd"/>
      <w:r w:rsidR="00FB3748">
        <w:t xml:space="preserve"> genes, </w:t>
      </w:r>
      <w:proofErr w:type="spellStart"/>
      <w:r w:rsidR="009B7B9C">
        <w:t>unannotated</w:t>
      </w:r>
      <w:proofErr w:type="spellEnd"/>
      <w:r w:rsidR="009B7B9C">
        <w:t xml:space="preserve"> </w:t>
      </w:r>
      <w:r w:rsidR="00987472">
        <w:t xml:space="preserve">splice junctions and novel </w:t>
      </w:r>
      <w:proofErr w:type="spellStart"/>
      <w:r w:rsidR="00987472">
        <w:t>transcriptionally</w:t>
      </w:r>
      <w:proofErr w:type="spellEnd"/>
      <w:r w:rsidR="00987472">
        <w:t xml:space="preserve"> active regions</w:t>
      </w:r>
      <w:r w:rsidR="008615EF">
        <w:t>, many of which we</w:t>
      </w:r>
      <w:r w:rsidR="009B7B9C">
        <w:t xml:space="preserve">re rare in the population. </w:t>
      </w:r>
      <w:r w:rsidR="00245BA0">
        <w:t>I</w:t>
      </w:r>
      <w:r w:rsidR="00597E38">
        <w:t>n</w:t>
      </w:r>
      <w:r w:rsidR="00F24C86">
        <w:t xml:space="preserve"> most genes </w:t>
      </w:r>
      <w:r w:rsidR="00320D51">
        <w:t xml:space="preserve">individual differences </w:t>
      </w:r>
      <w:r w:rsidR="00555EF7">
        <w:t xml:space="preserve">in </w:t>
      </w:r>
      <w:r w:rsidR="00834618">
        <w:t xml:space="preserve">splicing </w:t>
      </w:r>
      <w:r w:rsidR="00312A2C">
        <w:t>contribute</w:t>
      </w:r>
      <w:r w:rsidR="00245BA0">
        <w:t>d</w:t>
      </w:r>
      <w:r w:rsidR="00597E38">
        <w:t xml:space="preserve"> </w:t>
      </w:r>
      <w:r w:rsidR="00312A2C">
        <w:t>more</w:t>
      </w:r>
      <w:r w:rsidR="00597E38">
        <w:t xml:space="preserve"> </w:t>
      </w:r>
      <w:r w:rsidR="00834618">
        <w:t xml:space="preserve">(mean 60-70%*) </w:t>
      </w:r>
      <w:r w:rsidR="000B107A">
        <w:t xml:space="preserve">to the total variation </w:t>
      </w:r>
      <w:r w:rsidR="00320D51">
        <w:t xml:space="preserve">than </w:t>
      </w:r>
      <w:r w:rsidR="00312A2C">
        <w:t>differences</w:t>
      </w:r>
      <w:r w:rsidR="00320D51">
        <w:t xml:space="preserve"> in total gene expression levels</w:t>
      </w:r>
      <w:r w:rsidR="003D3344">
        <w:t xml:space="preserve">. </w:t>
      </w:r>
      <w:r w:rsidR="00555EF7">
        <w:t>Furthermore</w:t>
      </w:r>
      <w:r w:rsidR="008615EF">
        <w:t>, t</w:t>
      </w:r>
      <w:r w:rsidR="009B7B9C">
        <w:t xml:space="preserve">he combination of </w:t>
      </w:r>
      <w:r w:rsidR="008615EF">
        <w:t xml:space="preserve">high-quality </w:t>
      </w:r>
      <w:r w:rsidR="009B7B9C">
        <w:t>transcripto</w:t>
      </w:r>
      <w:r w:rsidR="00555EF7">
        <w:t>me and genome sequencing data ga</w:t>
      </w:r>
      <w:r w:rsidR="009B7B9C">
        <w:t>ve us the opportunity to characterize both common and rare regulatory</w:t>
      </w:r>
      <w:r w:rsidR="008615EF">
        <w:t xml:space="preserve"> variants</w:t>
      </w:r>
      <w:r w:rsidR="009B7B9C">
        <w:t xml:space="preserve">. We </w:t>
      </w:r>
      <w:r w:rsidR="00435EAD">
        <w:t>discovered</w:t>
      </w:r>
      <w:r w:rsidR="009B7B9C">
        <w:t xml:space="preserve"> over 5000 common eQTLs and hundreds of splicing QTLs (FDR &lt; 10%)</w:t>
      </w:r>
      <w:r w:rsidR="00435EAD">
        <w:t>, and show</w:t>
      </w:r>
      <w:r w:rsidR="009B7B9C">
        <w:t xml:space="preserve"> </w:t>
      </w:r>
      <w:r w:rsidR="00435EAD">
        <w:t>that indel variants are more likely to affect gene expression than SN</w:t>
      </w:r>
      <w:r w:rsidR="00F83FB7">
        <w:t>Ps (p &lt; 10^-4). The enrichment of eQTL variants</w:t>
      </w:r>
      <w:r w:rsidR="00435EAD">
        <w:t xml:space="preserve"> in reg</w:t>
      </w:r>
      <w:r w:rsidR="00F83FB7">
        <w:t>ions with regulatory annotation (p &lt; 10^-10) point</w:t>
      </w:r>
      <w:r w:rsidR="008615EF">
        <w:t>s</w:t>
      </w:r>
      <w:r w:rsidR="00F83FB7">
        <w:t xml:space="preserve"> to causal regulatory variants and shed</w:t>
      </w:r>
      <w:r w:rsidR="008615EF">
        <w:t>s</w:t>
      </w:r>
      <w:r w:rsidR="00F83FB7">
        <w:t xml:space="preserve"> light on functional mechanisms underlying eQTL </w:t>
      </w:r>
      <w:proofErr w:type="spellStart"/>
      <w:r w:rsidR="00F83FB7">
        <w:t>effects</w:t>
      </w:r>
      <w:proofErr w:type="spellEnd"/>
      <w:r w:rsidR="00F83FB7">
        <w:t>.</w:t>
      </w:r>
      <w:r w:rsidR="00312A2C">
        <w:t xml:space="preserve"> We uncovered r</w:t>
      </w:r>
      <w:r w:rsidR="00FB3C42">
        <w:t>are regulatory effects</w:t>
      </w:r>
      <w:r w:rsidR="00312A2C">
        <w:t xml:space="preserve"> by allele-specific expression analysis</w:t>
      </w:r>
      <w:r w:rsidR="00834618">
        <w:t xml:space="preserve">, showing </w:t>
      </w:r>
      <w:r w:rsidR="003407F5">
        <w:t xml:space="preserve">that </w:t>
      </w:r>
      <w:r w:rsidR="00EA5AEA">
        <w:t xml:space="preserve">they </w:t>
      </w:r>
      <w:r w:rsidR="003407F5">
        <w:t>have</w:t>
      </w:r>
      <w:r w:rsidR="00F83FB7">
        <w:t xml:space="preserve"> higher effect sizes</w:t>
      </w:r>
      <w:r w:rsidR="00FB3C42">
        <w:t xml:space="preserve"> (p = 10^-15)</w:t>
      </w:r>
      <w:r w:rsidR="00F83FB7">
        <w:t xml:space="preserve"> and account for the majority of allelic </w:t>
      </w:r>
      <w:r w:rsidR="00FB3C42">
        <w:t xml:space="preserve">ratio </w:t>
      </w:r>
      <w:r w:rsidR="00EA5AEA">
        <w:t>differences between</w:t>
      </w:r>
      <w:r w:rsidR="00F83FB7">
        <w:t xml:space="preserve"> individuals. </w:t>
      </w:r>
      <w:r w:rsidR="003D3344">
        <w:t>Finally</w:t>
      </w:r>
      <w:r w:rsidR="000C0A94">
        <w:t xml:space="preserve">, </w:t>
      </w:r>
      <w:r w:rsidR="008615EF">
        <w:t xml:space="preserve">we </w:t>
      </w:r>
      <w:r w:rsidR="00C20481">
        <w:t>characterize</w:t>
      </w:r>
      <w:r w:rsidR="00312A2C">
        <w:t>d</w:t>
      </w:r>
      <w:r w:rsidR="00C20481">
        <w:t xml:space="preserve"> transcriptome effects of </w:t>
      </w:r>
      <w:r w:rsidR="000C0A94">
        <w:t xml:space="preserve">hundreds of loss-of-function variants </w:t>
      </w:r>
      <w:r w:rsidR="00C20481">
        <w:t>in our dataset</w:t>
      </w:r>
      <w:r w:rsidR="003565CE">
        <w:t xml:space="preserve">. </w:t>
      </w:r>
      <w:r w:rsidR="00320D51">
        <w:t>In addition to</w:t>
      </w:r>
      <w:r w:rsidR="003565CE">
        <w:t xml:space="preserve"> functionally v</w:t>
      </w:r>
      <w:r w:rsidR="00320D51">
        <w:t>alidating variants predicted to</w:t>
      </w:r>
      <w:r w:rsidR="00F24C86">
        <w:t xml:space="preserve"> </w:t>
      </w:r>
      <w:r w:rsidR="003565CE">
        <w:t xml:space="preserve">cause </w:t>
      </w:r>
      <w:r w:rsidR="00320D51">
        <w:t xml:space="preserve">e.g. </w:t>
      </w:r>
      <w:r w:rsidR="003565CE">
        <w:t xml:space="preserve">nonsense-mediated decay or disrupt splice-sites, we </w:t>
      </w:r>
      <w:r w:rsidR="00312A2C">
        <w:t xml:space="preserve">developed a </w:t>
      </w:r>
      <w:r w:rsidR="003565CE">
        <w:t xml:space="preserve">model to </w:t>
      </w:r>
      <w:r w:rsidR="00312A2C">
        <w:t>i</w:t>
      </w:r>
      <w:r w:rsidR="003565CE">
        <w:t xml:space="preserve">mprove </w:t>
      </w:r>
      <w:r w:rsidR="00F24C86">
        <w:t xml:space="preserve">functionality </w:t>
      </w:r>
      <w:r w:rsidR="003565CE">
        <w:t>prediction</w:t>
      </w:r>
      <w:r w:rsidR="00F24C86">
        <w:t>s</w:t>
      </w:r>
      <w:r w:rsidR="003565CE">
        <w:t xml:space="preserve"> of previously unseen variants</w:t>
      </w:r>
      <w:r w:rsidR="00312A2C">
        <w:t xml:space="preserve"> base on their properties</w:t>
      </w:r>
      <w:r w:rsidR="00F24C86">
        <w:t xml:space="preserve">. Altogether, </w:t>
      </w:r>
      <w:r w:rsidR="00312A2C">
        <w:t xml:space="preserve">this study </w:t>
      </w:r>
      <w:r w:rsidR="00517D39">
        <w:t>take</w:t>
      </w:r>
      <w:r w:rsidR="00312A2C">
        <w:t>s</w:t>
      </w:r>
      <w:r w:rsidR="00517D39">
        <w:t xml:space="preserve"> us </w:t>
      </w:r>
      <w:r w:rsidR="00555EF7">
        <w:t>beyond</w:t>
      </w:r>
      <w:r w:rsidR="00517D39">
        <w:t xml:space="preserve"> </w:t>
      </w:r>
      <w:r>
        <w:t xml:space="preserve">cataloguing </w:t>
      </w:r>
      <w:r w:rsidR="00555EF7">
        <w:t xml:space="preserve">putative </w:t>
      </w:r>
      <w:r w:rsidR="00517D39">
        <w:t>functional</w:t>
      </w:r>
      <w:r>
        <w:t xml:space="preserve"> </w:t>
      </w:r>
      <w:r w:rsidR="00555EF7">
        <w:t xml:space="preserve">variants </w:t>
      </w:r>
      <w:r w:rsidR="00517D39">
        <w:t>towards</w:t>
      </w:r>
      <w:r>
        <w:t xml:space="preserve"> understanding and predicting </w:t>
      </w:r>
      <w:r w:rsidR="00312A2C">
        <w:t xml:space="preserve">the cellular effects of </w:t>
      </w:r>
      <w:r>
        <w:t>variants in the human genome.</w:t>
      </w:r>
    </w:p>
    <w:p w:rsidR="00575FBC" w:rsidRDefault="00575FBC"/>
    <w:p w:rsidR="00575FBC" w:rsidRDefault="00575FBC"/>
    <w:p w:rsidR="00320D51" w:rsidRDefault="00575FBC">
      <w:r>
        <w:t>*</w:t>
      </w:r>
      <w:proofErr w:type="gramStart"/>
      <w:r>
        <w:t>get</w:t>
      </w:r>
      <w:proofErr w:type="gramEnd"/>
      <w:r>
        <w:t xml:space="preserve"> </w:t>
      </w:r>
      <w:r w:rsidR="00312A2C">
        <w:t xml:space="preserve">the </w:t>
      </w:r>
      <w:r>
        <w:t>exact numbers</w:t>
      </w:r>
    </w:p>
    <w:p w:rsidR="00517D39" w:rsidRDefault="00517D39"/>
    <w:p w:rsidR="0076779F" w:rsidRDefault="0076779F"/>
    <w:sectPr w:rsidR="0076779F" w:rsidSect="0076779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52AE"/>
    <w:multiLevelType w:val="hybridMultilevel"/>
    <w:tmpl w:val="63227132"/>
    <w:lvl w:ilvl="0" w:tplc="E2BA863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6779F"/>
    <w:rsid w:val="000B107A"/>
    <w:rsid w:val="000C0A94"/>
    <w:rsid w:val="00245BA0"/>
    <w:rsid w:val="00312A2C"/>
    <w:rsid w:val="00320D51"/>
    <w:rsid w:val="003407F5"/>
    <w:rsid w:val="003565CE"/>
    <w:rsid w:val="003D3344"/>
    <w:rsid w:val="003F023E"/>
    <w:rsid w:val="00435EAD"/>
    <w:rsid w:val="004C309D"/>
    <w:rsid w:val="00517D39"/>
    <w:rsid w:val="00527858"/>
    <w:rsid w:val="00555EF7"/>
    <w:rsid w:val="00575FBC"/>
    <w:rsid w:val="00597E38"/>
    <w:rsid w:val="006C7DB8"/>
    <w:rsid w:val="0076779F"/>
    <w:rsid w:val="00834618"/>
    <w:rsid w:val="008615EF"/>
    <w:rsid w:val="009316A8"/>
    <w:rsid w:val="00987472"/>
    <w:rsid w:val="009B7B9C"/>
    <w:rsid w:val="00B918D2"/>
    <w:rsid w:val="00C20481"/>
    <w:rsid w:val="00EA5AEA"/>
    <w:rsid w:val="00EC43AB"/>
    <w:rsid w:val="00F24C86"/>
    <w:rsid w:val="00F83FB7"/>
    <w:rsid w:val="00FB3748"/>
    <w:rsid w:val="00FB3C4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C309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5A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3232</Characters>
  <Application>Microsoft Macintosh Word</Application>
  <DocSecurity>0</DocSecurity>
  <Lines>26</Lines>
  <Paragraphs>6</Paragraphs>
  <ScaleCrop>false</ScaleCrop>
  <Company>CMU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Lappalainen</dc:creator>
  <cp:keywords/>
  <cp:lastModifiedBy>Tuuli Lappalainen</cp:lastModifiedBy>
  <cp:revision>3</cp:revision>
  <dcterms:created xsi:type="dcterms:W3CDTF">2012-05-30T16:39:00Z</dcterms:created>
  <dcterms:modified xsi:type="dcterms:W3CDTF">2012-05-30T16:41:00Z</dcterms:modified>
</cp:coreProperties>
</file>